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9"/>
      </w:tblGrid>
      <w:tr w:rsidR="003552B5" w14:paraId="3932AC7D" w14:textId="77777777" w:rsidTr="007466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6D8E" w14:textId="77777777" w:rsidR="003552B5" w:rsidRDefault="003552B5" w:rsidP="007466F4">
            <w:pPr>
              <w:spacing w:line="276" w:lineRule="auto"/>
            </w:pPr>
          </w:p>
        </w:tc>
      </w:tr>
      <w:tr w:rsidR="003552B5" w14:paraId="4B7575CB" w14:textId="77777777" w:rsidTr="007466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1152" w14:textId="77777777" w:rsidR="003552B5" w:rsidRDefault="003552B5" w:rsidP="007466F4">
            <w:pPr>
              <w:spacing w:line="276" w:lineRule="auto"/>
            </w:pPr>
          </w:p>
        </w:tc>
      </w:tr>
      <w:tr w:rsidR="003552B5" w14:paraId="2703E20E" w14:textId="77777777" w:rsidTr="007466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4C203" w14:textId="77777777" w:rsidR="003552B5" w:rsidRDefault="003552B5" w:rsidP="007466F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2B5" w14:paraId="42D01008" w14:textId="77777777" w:rsidTr="007466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2B13" w14:textId="77777777" w:rsidR="003552B5" w:rsidRDefault="003552B5" w:rsidP="007466F4">
            <w:pPr>
              <w:pStyle w:val="xmsonormal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2FD4625F" w14:textId="1EE162F5" w:rsidR="00765BC0" w:rsidRDefault="008D4739" w:rsidP="007466F4">
            <w:pPr>
              <w:pStyle w:val="xmsonormal"/>
              <w:spacing w:line="276" w:lineRule="auto"/>
            </w:pPr>
            <w:r>
              <w:br/>
            </w:r>
          </w:p>
          <w:p w14:paraId="5B03FB64" w14:textId="4BADDF03" w:rsidR="00824BDF" w:rsidRDefault="00824BDF" w:rsidP="007466F4">
            <w:pPr>
              <w:pStyle w:val="xmsonormal"/>
              <w:spacing w:line="276" w:lineRule="auto"/>
            </w:pPr>
          </w:p>
        </w:tc>
      </w:tr>
      <w:tr w:rsidR="003552B5" w14:paraId="06F054C9" w14:textId="77777777" w:rsidTr="007466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3E18A" w14:textId="77777777" w:rsidR="003552B5" w:rsidRDefault="003552B5" w:rsidP="007466F4">
            <w:pPr>
              <w:spacing w:line="276" w:lineRule="auto"/>
            </w:pPr>
          </w:p>
        </w:tc>
      </w:tr>
      <w:tr w:rsidR="003552B5" w14:paraId="45A18A15" w14:textId="77777777" w:rsidTr="007466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3"/>
            </w:tblGrid>
            <w:tr w:rsidR="003552B5" w:rsidRPr="00343072" w14:paraId="6236D04E" w14:textId="77777777" w:rsidTr="007466F4">
              <w:trPr>
                <w:jc w:val="center"/>
              </w:trPr>
              <w:tc>
                <w:tcPr>
                  <w:tcW w:w="106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F15AD7" w14:textId="77777777" w:rsidR="003552B5" w:rsidRPr="00343072" w:rsidRDefault="003552B5" w:rsidP="0034307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552B5" w:rsidRPr="00343072" w14:paraId="606E4FD7" w14:textId="77777777" w:rsidTr="007466F4">
              <w:tblPrEx>
                <w:jc w:val="left"/>
              </w:tblPrEx>
              <w:tc>
                <w:tcPr>
                  <w:tcW w:w="93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E2373F" w14:textId="77777777" w:rsidR="003552B5" w:rsidRPr="00343072" w:rsidRDefault="003552B5" w:rsidP="00343072">
                  <w:pPr>
                    <w:pStyle w:val="xmsonormal"/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3552B5" w:rsidRPr="00343072" w14:paraId="725D66AB" w14:textId="77777777" w:rsidTr="007466F4">
              <w:tblPrEx>
                <w:jc w:val="left"/>
              </w:tblPrEx>
              <w:tc>
                <w:tcPr>
                  <w:tcW w:w="93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F9D0F0" w14:textId="233AB93F" w:rsidR="003552B5" w:rsidRPr="00384DEE" w:rsidRDefault="008D4739" w:rsidP="00343072">
                  <w:pPr>
                    <w:pStyle w:val="xmsonormal"/>
                    <w:spacing w:line="276" w:lineRule="auto"/>
                    <w:jc w:val="center"/>
                    <w:rPr>
                      <w:rFonts w:ascii="Tahoma" w:hAnsi="Tahoma" w:cs="Tahoma"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2060"/>
                      <w:kern w:val="36"/>
                      <w:sz w:val="32"/>
                      <w:szCs w:val="32"/>
                      <w:u w:val="single"/>
                      <w:lang w:bidi="ar-SA"/>
                    </w:rPr>
                    <w:t>Transpacific Eastbound: Panama Canal Adjustment Factor</w:t>
                  </w:r>
                </w:p>
                <w:p w14:paraId="44D134E5" w14:textId="35130B99" w:rsidR="003552B5" w:rsidRPr="00384DEE" w:rsidRDefault="00765BC0" w:rsidP="00384DEE">
                  <w:pPr>
                    <w:pStyle w:val="xmsonormal"/>
                    <w:spacing w:line="276" w:lineRule="auto"/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br/>
                  </w:r>
                  <w:r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br/>
                  </w:r>
                  <w:r w:rsidR="008D4739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23</w:t>
                  </w:r>
                  <w:r w:rsidR="008D4739" w:rsidRPr="008D4739">
                    <w:rPr>
                      <w:rFonts w:ascii="Tahoma" w:hAnsi="Tahoma" w:cs="Tahoma"/>
                      <w:color w:val="002060"/>
                      <w:sz w:val="26"/>
                      <w:szCs w:val="26"/>
                      <w:vertAlign w:val="superscript"/>
                    </w:rPr>
                    <w:t>rd</w:t>
                  </w:r>
                  <w:r w:rsidR="008D4739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 November</w:t>
                  </w:r>
                  <w:r w:rsidR="00384DEE" w:rsidRPr="00384DEE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 2023</w:t>
                  </w:r>
                </w:p>
                <w:p w14:paraId="17443263" w14:textId="77777777" w:rsidR="00384DEE" w:rsidRPr="00384DEE" w:rsidRDefault="00384DEE" w:rsidP="00384DEE">
                  <w:pPr>
                    <w:pStyle w:val="xmsonormal"/>
                    <w:spacing w:line="276" w:lineRule="auto"/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</w:pPr>
                </w:p>
                <w:p w14:paraId="28E70764" w14:textId="77777777" w:rsidR="003552B5" w:rsidRPr="00343072" w:rsidRDefault="003552B5" w:rsidP="00343072">
                  <w:pPr>
                    <w:pStyle w:val="xmsonormal"/>
                    <w:spacing w:line="276" w:lineRule="auto"/>
                    <w:rPr>
                      <w:b/>
                      <w:bCs/>
                      <w:sz w:val="26"/>
                      <w:szCs w:val="26"/>
                    </w:rPr>
                  </w:pPr>
                  <w:r w:rsidRPr="00343072">
                    <w:rPr>
                      <w:rFonts w:ascii="Tahoma" w:hAnsi="Tahoma" w:cs="Tahoma"/>
                      <w:b/>
                      <w:bCs/>
                      <w:color w:val="002060"/>
                      <w:sz w:val="26"/>
                      <w:szCs w:val="26"/>
                    </w:rPr>
                    <w:t xml:space="preserve">Dear ZIM Customer, </w:t>
                  </w:r>
                </w:p>
                <w:p w14:paraId="42135BC6" w14:textId="77777777" w:rsidR="003552B5" w:rsidRPr="00343072" w:rsidRDefault="003552B5" w:rsidP="00343072">
                  <w:pPr>
                    <w:pStyle w:val="xmsonormal"/>
                    <w:spacing w:line="276" w:lineRule="auto"/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</w:pPr>
                  <w:r w:rsidRPr="00343072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 </w:t>
                  </w:r>
                </w:p>
                <w:p w14:paraId="54D34701" w14:textId="68786694" w:rsidR="008D4739" w:rsidRDefault="008D4739" w:rsidP="008D4739">
                  <w:pPr>
                    <w:pStyle w:val="xmsonormal"/>
                    <w:spacing w:line="276" w:lineRule="auto"/>
                    <w:jc w:val="both"/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The Panama Canal Authority has recently announced further restrictions on vessels crossing the canal, following the historically low water level in Panama. </w:t>
                  </w:r>
                </w:p>
                <w:p w14:paraId="335DCC30" w14:textId="77777777" w:rsidR="00D825E9" w:rsidRDefault="00D825E9" w:rsidP="008D4739">
                  <w:pPr>
                    <w:pStyle w:val="xmsonormal"/>
                    <w:spacing w:line="276" w:lineRule="auto"/>
                    <w:jc w:val="both"/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</w:pPr>
                </w:p>
                <w:p w14:paraId="4513621A" w14:textId="5A5DF4D3" w:rsidR="008D4739" w:rsidRDefault="008D4739" w:rsidP="008D4739">
                  <w:pPr>
                    <w:pStyle w:val="xmsonormal"/>
                    <w:spacing w:line="276" w:lineRule="auto"/>
                    <w:jc w:val="both"/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The number of </w:t>
                  </w:r>
                  <w:r w:rsidR="00D825E9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vessels</w:t>
                  </w:r>
                  <w:r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 </w:t>
                  </w:r>
                  <w:r w:rsidR="00072577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passage</w:t>
                  </w:r>
                  <w:r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 t</w:t>
                  </w:r>
                  <w:r w:rsidRPr="008D4739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he Neopanamax locks</w:t>
                  </w:r>
                  <w:r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 will be further reduced</w:t>
                  </w:r>
                  <w:r w:rsidR="00D825E9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, combined with </w:t>
                  </w:r>
                  <w:r w:rsidR="00CA0EA8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an increase of t</w:t>
                  </w:r>
                  <w:r w:rsidR="00D81AAD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he Canal Tariff implemented earlier this year,</w:t>
                  </w:r>
                  <w:r w:rsidR="00BD22CB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 increased our operation cost </w:t>
                  </w:r>
                  <w:r w:rsidR="00B3079B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substantially. </w:t>
                  </w:r>
                  <w:r w:rsidR="00A61A76" w:rsidRPr="00A61A76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To recover the</w:t>
                  </w:r>
                  <w:r w:rsidR="00A61A76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 extra expenses</w:t>
                  </w:r>
                  <w:r w:rsidR="00A61A76" w:rsidRPr="00A61A76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 on Asia to US East coast and US Gulf services</w:t>
                  </w:r>
                  <w:r w:rsidR="00116B77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 crossing the </w:t>
                  </w:r>
                  <w:r w:rsidR="00072577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Panama Canal</w:t>
                  </w:r>
                  <w:r w:rsidR="00A61A76" w:rsidRPr="00A61A76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, Zim will implement a new Panama Canal </w:t>
                  </w:r>
                  <w:r w:rsidR="00072577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Adjustment Factor (PCA</w:t>
                  </w:r>
                  <w:r w:rsidR="00A61A76" w:rsidRPr="00A61A76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 xml:space="preserve">), starting </w:t>
                  </w:r>
                  <w:r w:rsidR="008E7ECD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December 15, 2023</w:t>
                  </w:r>
                  <w:r w:rsidR="00A61A76" w:rsidRPr="00A61A76"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.</w:t>
                  </w:r>
                </w:p>
                <w:p w14:paraId="1D4D7537" w14:textId="77777777" w:rsidR="008E7ECD" w:rsidRDefault="008E7ECD" w:rsidP="008D4739">
                  <w:pPr>
                    <w:pStyle w:val="xmsonormal"/>
                    <w:spacing w:line="276" w:lineRule="auto"/>
                    <w:jc w:val="both"/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</w:pPr>
                </w:p>
                <w:p w14:paraId="0D0D3D83" w14:textId="3FB4F5B3" w:rsidR="008E7ECD" w:rsidRDefault="008E7ECD" w:rsidP="008D4739">
                  <w:pPr>
                    <w:pStyle w:val="xmsonormal"/>
                    <w:spacing w:line="276" w:lineRule="auto"/>
                    <w:jc w:val="both"/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Effective: 15 December 2023</w:t>
                  </w:r>
                </w:p>
                <w:p w14:paraId="4745761A" w14:textId="3BE2850E" w:rsidR="008E7ECD" w:rsidRDefault="008E7ECD" w:rsidP="008D4739">
                  <w:pPr>
                    <w:pStyle w:val="xmsonormal"/>
                    <w:spacing w:line="276" w:lineRule="auto"/>
                    <w:jc w:val="both"/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USD 250 per 20’</w:t>
                  </w:r>
                </w:p>
                <w:p w14:paraId="210C0A00" w14:textId="0E8AF8FB" w:rsidR="008E7ECD" w:rsidRDefault="000605CF" w:rsidP="008D4739">
                  <w:pPr>
                    <w:pStyle w:val="xmsonormal"/>
                    <w:spacing w:line="276" w:lineRule="auto"/>
                    <w:jc w:val="both"/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USD 500 per 40’ DV/HC/RF/RH</w:t>
                  </w:r>
                </w:p>
                <w:p w14:paraId="001D5199" w14:textId="65494998" w:rsidR="000605CF" w:rsidRDefault="000605CF" w:rsidP="008D4739">
                  <w:pPr>
                    <w:pStyle w:val="xmsonormal"/>
                    <w:spacing w:line="276" w:lineRule="auto"/>
                    <w:jc w:val="both"/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USD 635 per 45’</w:t>
                  </w:r>
                </w:p>
                <w:p w14:paraId="7A9A1BCB" w14:textId="77777777" w:rsidR="00824BDF" w:rsidRDefault="00824BDF" w:rsidP="00343072">
                  <w:pPr>
                    <w:pStyle w:val="xmsonormal"/>
                    <w:spacing w:line="276" w:lineRule="auto"/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</w:pPr>
                </w:p>
                <w:p w14:paraId="175A69F6" w14:textId="6A77C40D" w:rsidR="00824BDF" w:rsidRDefault="00824BDF" w:rsidP="00343072">
                  <w:pPr>
                    <w:pStyle w:val="xmsonormal"/>
                    <w:spacing w:line="276" w:lineRule="auto"/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  <w:t>We thank you for your understanding on this matter.</w:t>
                  </w:r>
                </w:p>
                <w:p w14:paraId="4AC12BC1" w14:textId="77777777" w:rsidR="00765BC0" w:rsidRPr="00343072" w:rsidRDefault="00765BC0" w:rsidP="00343072">
                  <w:pPr>
                    <w:pStyle w:val="xmsonormal"/>
                    <w:spacing w:line="276" w:lineRule="auto"/>
                    <w:rPr>
                      <w:rFonts w:ascii="Tahoma" w:hAnsi="Tahoma" w:cs="Tahoma"/>
                      <w:color w:val="002060"/>
                      <w:sz w:val="26"/>
                      <w:szCs w:val="26"/>
                    </w:rPr>
                  </w:pPr>
                </w:p>
                <w:p w14:paraId="0EF89AF5" w14:textId="41571D3B" w:rsidR="003552B5" w:rsidRPr="00343072" w:rsidRDefault="003552B5" w:rsidP="00343072">
                  <w:pPr>
                    <w:pStyle w:val="xmsonormal"/>
                    <w:spacing w:line="276" w:lineRule="auto"/>
                    <w:rPr>
                      <w:rFonts w:ascii="Tahoma" w:hAnsi="Tahoma" w:cs="Tahoma"/>
                      <w:b/>
                      <w:bCs/>
                      <w:color w:val="002060"/>
                      <w:sz w:val="26"/>
                      <w:szCs w:val="26"/>
                    </w:rPr>
                  </w:pPr>
                  <w:r w:rsidRPr="00343072">
                    <w:rPr>
                      <w:rFonts w:ascii="Tahoma" w:hAnsi="Tahoma" w:cs="Tahoma"/>
                      <w:b/>
                      <w:bCs/>
                      <w:color w:val="002060"/>
                      <w:sz w:val="26"/>
                      <w:szCs w:val="26"/>
                    </w:rPr>
                    <w:t xml:space="preserve">Our customer service team and sales representatives are at your disposal for any inquiries. </w:t>
                  </w:r>
                  <w:r w:rsidRPr="00343072">
                    <w:rPr>
                      <w:rFonts w:ascii="Tahoma" w:hAnsi="Tahoma" w:cs="Tahoma"/>
                      <w:b/>
                      <w:bCs/>
                      <w:color w:val="002060"/>
                      <w:sz w:val="26"/>
                      <w:szCs w:val="26"/>
                    </w:rPr>
                    <w:br/>
                  </w:r>
                </w:p>
              </w:tc>
            </w:tr>
            <w:tr w:rsidR="003552B5" w:rsidRPr="00343072" w14:paraId="0A9639BB" w14:textId="77777777" w:rsidTr="007466F4">
              <w:tblPrEx>
                <w:jc w:val="left"/>
              </w:tblPrEx>
              <w:tc>
                <w:tcPr>
                  <w:tcW w:w="93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389AC5" w14:textId="77777777" w:rsidR="003552B5" w:rsidRPr="00343072" w:rsidRDefault="003552B5" w:rsidP="00343072">
                  <w:pPr>
                    <w:pStyle w:val="xmsonormal"/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40317D52" w14:textId="77777777" w:rsidR="003552B5" w:rsidRPr="00343072" w:rsidRDefault="003552B5" w:rsidP="00343072">
            <w:pPr>
              <w:pStyle w:val="xmsonormal"/>
              <w:spacing w:line="276" w:lineRule="auto"/>
              <w:rPr>
                <w:sz w:val="26"/>
                <w:szCs w:val="26"/>
              </w:rPr>
            </w:pPr>
          </w:p>
        </w:tc>
      </w:tr>
      <w:tr w:rsidR="003552B5" w14:paraId="3243C401" w14:textId="77777777" w:rsidTr="007466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128E" w14:textId="77777777" w:rsidR="003552B5" w:rsidRDefault="003552B5" w:rsidP="0034307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C2EE96" wp14:editId="7A47D81D">
                  <wp:extent cx="5943600" cy="965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B5" w14:paraId="14104A99" w14:textId="77777777" w:rsidTr="007466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1BD9" w14:textId="77777777" w:rsidR="003552B5" w:rsidRDefault="003552B5" w:rsidP="00343072">
            <w:pPr>
              <w:spacing w:line="276" w:lineRule="auto"/>
              <w:rPr>
                <w:rFonts w:ascii="Tahoma" w:hAnsi="Tahoma" w:cs="Tahoma"/>
                <w:color w:val="002060"/>
              </w:rPr>
            </w:pPr>
          </w:p>
        </w:tc>
      </w:tr>
    </w:tbl>
    <w:p w14:paraId="500A7F50" w14:textId="77777777" w:rsidR="003552B5" w:rsidRPr="0079438D" w:rsidRDefault="003552B5" w:rsidP="00343072">
      <w:pPr>
        <w:spacing w:line="276" w:lineRule="auto"/>
      </w:pPr>
    </w:p>
    <w:p w14:paraId="416A582C" w14:textId="77777777" w:rsidR="00D0362F" w:rsidRDefault="00D0362F" w:rsidP="00343072">
      <w:pPr>
        <w:spacing w:line="276" w:lineRule="auto"/>
      </w:pPr>
    </w:p>
    <w:sectPr w:rsidR="00D0362F" w:rsidSect="00254E58">
      <w:headerReference w:type="default" r:id="rId11"/>
      <w:footerReference w:type="default" r:id="rId12"/>
      <w:pgSz w:w="11906" w:h="16838" w:code="9"/>
      <w:pgMar w:top="227" w:right="397" w:bottom="284" w:left="630" w:header="454" w:footer="56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8715" w14:textId="77777777" w:rsidR="009351A6" w:rsidRDefault="009351A6">
      <w:r>
        <w:separator/>
      </w:r>
    </w:p>
  </w:endnote>
  <w:endnote w:type="continuationSeparator" w:id="0">
    <w:p w14:paraId="7ECE7CB6" w14:textId="77777777" w:rsidR="009351A6" w:rsidRDefault="0093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·s²Ó©úÅé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FC4F" w14:textId="77777777" w:rsidR="00152C68" w:rsidRPr="00FD7AF8" w:rsidRDefault="00152C68" w:rsidP="00667701">
    <w:pPr>
      <w:ind w:left="284" w:right="339"/>
      <w:rPr>
        <w:rFonts w:ascii="Tahoma" w:hAnsi="Tahoma" w:cs="Tahoma"/>
        <w:sz w:val="20"/>
        <w:szCs w:val="20"/>
      </w:rPr>
    </w:pPr>
  </w:p>
  <w:p w14:paraId="64A050C4" w14:textId="77777777" w:rsidR="00152C68" w:rsidRPr="00FA18E1" w:rsidRDefault="00152C68" w:rsidP="00C26FE8">
    <w:pPr>
      <w:pStyle w:val="Footer"/>
      <w:rPr>
        <w:rFonts w:ascii="Tahoma" w:hAnsi="Tahoma" w:cs="Tahoma"/>
        <w:color w:val="212B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4253" w14:textId="77777777" w:rsidR="009351A6" w:rsidRDefault="009351A6">
      <w:r>
        <w:separator/>
      </w:r>
    </w:p>
  </w:footnote>
  <w:footnote w:type="continuationSeparator" w:id="0">
    <w:p w14:paraId="453E32AE" w14:textId="77777777" w:rsidR="009351A6" w:rsidRDefault="0093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D8C2" w14:textId="59D9412A" w:rsidR="00152C68" w:rsidRDefault="005D74CC" w:rsidP="00CB41CC">
    <w:pPr>
      <w:pStyle w:val="Header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4F928593" wp14:editId="431B3AEF">
          <wp:extent cx="6908165" cy="1302385"/>
          <wp:effectExtent l="0" t="0" r="6985" b="0"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165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color w:val="212B60"/>
        <w:sz w:val="20"/>
        <w:szCs w:val="20"/>
      </w:rPr>
      <w:t xml:space="preserve"> </w:t>
    </w:r>
    <w:r w:rsidR="003552B5"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CFD5418" wp14:editId="7D199796">
              <wp:simplePos x="0" y="0"/>
              <wp:positionH relativeFrom="column">
                <wp:posOffset>-1143001</wp:posOffset>
              </wp:positionH>
              <wp:positionV relativeFrom="paragraph">
                <wp:posOffset>179070</wp:posOffset>
              </wp:positionV>
              <wp:extent cx="0" cy="10515600"/>
              <wp:effectExtent l="0" t="0" r="1905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515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11D05" id="Straight Connector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0pt,14.1pt" to="-90pt,8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iOrwEAAEkDAAAOAAAAZHJzL2Uyb0RvYy54bWysU8tu2zAQvBfoPxC815IMOGgJyzk4SS9p&#10;ayDpB6xJSiJKcQkubcl/X5J+JGhvRXUguK/h7OxqfT+Plh11IIOu5c2i5kw7icq4vuU/X58+feaM&#10;IjgFFp1u+UkTv998/LCevNBLHNAqHVgCcSQm3/IhRi+qiuSgR6AFeu1SsMMwQkxm6CsVYEroo62W&#10;dX1XTRiUDyg1UfI+nIN8U/C7Tsv4o+tIR2ZbnrjFcoZy7vNZbdYg+gB+MPJCA/6BxQjGpUdvUA8Q&#10;gR2C+QtqNDIgYRcXEscKu85IXXpI3TT1H928DOB16SWJQ/4mE/0/WPn9uHW7kKnL2b34Z5S/iDnc&#10;DuB6XQi8nnwaXJOlqiZP4laSDfK7wPbTN1QpBw4RiwpzF8YMmfpjcxH7dBNbz5HJs1Mmb1OvmtVd&#10;XSZRgbhW+kDxq8aR5UvLrXFZCBBwfKaYmYC4pmS3wydjbRmmdWxq+ZfVclUKCK1ROZjTKPT7rQ3s&#10;CHkdylfaSpH3aQEPThWwQYN6vNwjGHu+p8etu6iRBcjbRmKP6rQLV5XSvArLy27lhXhvl+q3P2Dz&#10;GwAA//8DAFBLAwQUAAYACAAAACEAsZZS9N8AAAANAQAADwAAAGRycy9kb3ducmV2LnhtbEyPwU7D&#10;MAyG70i8Q2QkLtOWLKCpKk0nBPTGhQHi6jWmrWiSrsm2sqefkZDgaPvT7+8v1pPrxYHG2AVvYLlQ&#10;IMjXwXa+MfD2Ws0zEDGht9gHTwa+KcK6vLwoMLfh6F/osEmN4BAfczTQpjTkUsa6JYdxEQbyfPsM&#10;o8PE49hIO+KRw10vtVIr6bDz/KHFgR5aqr82e2cgVu+0q06zeqY+bppAevf4/ITGXF9N93cgEk3p&#10;D4YffVaHkp22Ye9tFL2B+TJTXCYZ0JkGwcTvZsvsKrvVIMtC/m9RngEAAP//AwBQSwECLQAUAAYA&#10;CAAAACEAtoM4kv4AAADhAQAAEwAAAAAAAAAAAAAAAAAAAAAAW0NvbnRlbnRfVHlwZXNdLnhtbFBL&#10;AQItABQABgAIAAAAIQA4/SH/1gAAAJQBAAALAAAAAAAAAAAAAAAAAC8BAABfcmVscy8ucmVsc1BL&#10;AQItABQABgAIAAAAIQDIqziOrwEAAEkDAAAOAAAAAAAAAAAAAAAAAC4CAABkcnMvZTJvRG9jLnht&#10;bFBLAQItABQABgAIAAAAIQCxllL03wAAAA0BAAAPAAAAAAAAAAAAAAAAAAkEAABkcnMvZG93bnJl&#10;di54bWxQSwUGAAAAAAQABADzAAAAF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529"/>
    <w:multiLevelType w:val="hybridMultilevel"/>
    <w:tmpl w:val="31DC2734"/>
    <w:lvl w:ilvl="0" w:tplc="588EC1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A833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61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4BB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801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A1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2F2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F01F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C7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66AA"/>
    <w:multiLevelType w:val="hybridMultilevel"/>
    <w:tmpl w:val="9656E0B2"/>
    <w:lvl w:ilvl="0" w:tplc="BDD2B5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064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84B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EB9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286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4B9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22B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90AD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6C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025527">
    <w:abstractNumId w:val="1"/>
  </w:num>
  <w:num w:numId="2" w16cid:durableId="74090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B5"/>
    <w:rsid w:val="00030DEE"/>
    <w:rsid w:val="000605CF"/>
    <w:rsid w:val="0006259B"/>
    <w:rsid w:val="00072577"/>
    <w:rsid w:val="00072757"/>
    <w:rsid w:val="00116B77"/>
    <w:rsid w:val="00123132"/>
    <w:rsid w:val="001520A3"/>
    <w:rsid w:val="00152C68"/>
    <w:rsid w:val="001D7492"/>
    <w:rsid w:val="00206E53"/>
    <w:rsid w:val="00244D60"/>
    <w:rsid w:val="002523F1"/>
    <w:rsid w:val="00255A51"/>
    <w:rsid w:val="00307F46"/>
    <w:rsid w:val="003374F3"/>
    <w:rsid w:val="00343072"/>
    <w:rsid w:val="003552B5"/>
    <w:rsid w:val="00384DEE"/>
    <w:rsid w:val="003B020A"/>
    <w:rsid w:val="003D6CAB"/>
    <w:rsid w:val="004B36E2"/>
    <w:rsid w:val="00515971"/>
    <w:rsid w:val="005445AA"/>
    <w:rsid w:val="0057280E"/>
    <w:rsid w:val="005D74CC"/>
    <w:rsid w:val="006A15F9"/>
    <w:rsid w:val="00712F26"/>
    <w:rsid w:val="00765BC0"/>
    <w:rsid w:val="007E422B"/>
    <w:rsid w:val="00824BDF"/>
    <w:rsid w:val="00834829"/>
    <w:rsid w:val="00872FBC"/>
    <w:rsid w:val="008B7DF9"/>
    <w:rsid w:val="008C46AD"/>
    <w:rsid w:val="008D4739"/>
    <w:rsid w:val="008E7ECD"/>
    <w:rsid w:val="009351A6"/>
    <w:rsid w:val="009353B9"/>
    <w:rsid w:val="009E6827"/>
    <w:rsid w:val="00A61A76"/>
    <w:rsid w:val="00A748F6"/>
    <w:rsid w:val="00AD499C"/>
    <w:rsid w:val="00AE4883"/>
    <w:rsid w:val="00AF1124"/>
    <w:rsid w:val="00B3079B"/>
    <w:rsid w:val="00BA48A7"/>
    <w:rsid w:val="00BD22CB"/>
    <w:rsid w:val="00CA0EA8"/>
    <w:rsid w:val="00D0362F"/>
    <w:rsid w:val="00D221F5"/>
    <w:rsid w:val="00D81AAD"/>
    <w:rsid w:val="00D825E9"/>
    <w:rsid w:val="00DB2979"/>
    <w:rsid w:val="00E40F80"/>
    <w:rsid w:val="00E871A3"/>
    <w:rsid w:val="00EA4301"/>
    <w:rsid w:val="00E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CB142"/>
  <w15:chartTrackingRefBased/>
  <w15:docId w15:val="{9DD89058-4DD3-4C6C-B202-5AF0004F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2B5"/>
    <w:pPr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E682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827"/>
    <w:rPr>
      <w:rFonts w:eastAsia="Times New Roman"/>
      <w:b/>
      <w:bCs/>
      <w:kern w:val="36"/>
      <w:sz w:val="44"/>
      <w:szCs w:val="48"/>
    </w:rPr>
  </w:style>
  <w:style w:type="paragraph" w:styleId="Header">
    <w:name w:val="header"/>
    <w:basedOn w:val="Normal"/>
    <w:link w:val="HeaderChar"/>
    <w:rsid w:val="003552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52B5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3552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52B5"/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3552B5"/>
  </w:style>
  <w:style w:type="character" w:styleId="Hyperlink">
    <w:name w:val="Hyperlink"/>
    <w:basedOn w:val="DefaultParagraphFont"/>
    <w:uiPriority w:val="99"/>
    <w:unhideWhenUsed/>
    <w:rsid w:val="00A74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8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49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1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1728BA039084B86C3D11B156BE075" ma:contentTypeVersion="15" ma:contentTypeDescription="Create a new document." ma:contentTypeScope="" ma:versionID="7edc3a600be3e9e7db4e819f88c56591">
  <xsd:schema xmlns:xsd="http://www.w3.org/2001/XMLSchema" xmlns:xs="http://www.w3.org/2001/XMLSchema" xmlns:p="http://schemas.microsoft.com/office/2006/metadata/properties" xmlns:ns3="a0b680db-dea5-4b0d-9c1c-ef74cb9cd163" xmlns:ns4="2e3b5b4c-1a78-423c-8cdd-70fe43ec48af" targetNamespace="http://schemas.microsoft.com/office/2006/metadata/properties" ma:root="true" ma:fieldsID="f6a7046d3c6164df5406770e0256ef4f" ns3:_="" ns4:_="">
    <xsd:import namespace="a0b680db-dea5-4b0d-9c1c-ef74cb9cd163"/>
    <xsd:import namespace="2e3b5b4c-1a78-423c-8cdd-70fe43ec4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680db-dea5-4b0d-9c1c-ef74cb9cd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b5b4c-1a78-423c-8cdd-70fe43ec4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b680db-dea5-4b0d-9c1c-ef74cb9cd163" xsi:nil="true"/>
  </documentManagement>
</p:properties>
</file>

<file path=customXml/itemProps1.xml><?xml version="1.0" encoding="utf-8"?>
<ds:datastoreItem xmlns:ds="http://schemas.openxmlformats.org/officeDocument/2006/customXml" ds:itemID="{C34BB359-1098-463A-B2DB-9A8909938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D8979-825C-4FA2-9EAE-968A63658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680db-dea5-4b0d-9c1c-ef74cb9cd163"/>
    <ds:schemaRef ds:uri="2e3b5b4c-1a78-423c-8cdd-70fe43e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D8C16-1844-430C-B259-EEB4827F46E5}">
  <ds:schemaRefs>
    <ds:schemaRef ds:uri="http://schemas.microsoft.com/office/2006/metadata/properties"/>
    <ds:schemaRef ds:uri="http://schemas.microsoft.com/office/infopath/2007/PartnerControls"/>
    <ds:schemaRef ds:uri="a0b680db-dea5-4b0d-9c1c-ef74cb9cd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Fountain Maya</dc:creator>
  <cp:keywords/>
  <dc:description/>
  <cp:lastModifiedBy>Chin Fannie</cp:lastModifiedBy>
  <cp:revision>12</cp:revision>
  <cp:lastPrinted>2023-10-27T07:26:00Z</cp:lastPrinted>
  <dcterms:created xsi:type="dcterms:W3CDTF">2023-11-22T12:08:00Z</dcterms:created>
  <dcterms:modified xsi:type="dcterms:W3CDTF">2023-11-22T12:18:00Z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0x0101002CB1728BA039084B86C3D11B156BE075</vt:lpwstr>
  </property>
</Properties>
</file>